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75" w:rsidRPr="0014113C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bookmarkStart w:id="0" w:name="_GoBack"/>
      <w:bookmarkEnd w:id="0"/>
      <w:r w:rsidRPr="0014113C">
        <w:rPr>
          <w:rFonts w:ascii="Arial" w:hAnsi="Arial" w:cs="Arial"/>
        </w:rPr>
        <w:t xml:space="preserve">Rámcová dohoda </w:t>
      </w:r>
    </w:p>
    <w:p w:rsidR="00DB0275" w:rsidRPr="00A7516E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="00730EEE">
        <w:rPr>
          <w:rFonts w:ascii="Arial" w:hAnsi="Arial" w:cs="Arial"/>
        </w:rPr>
        <w:t xml:space="preserve">„Dodávka </w:t>
      </w:r>
      <w:r w:rsidR="00975326">
        <w:rPr>
          <w:rFonts w:ascii="Arial" w:hAnsi="Arial" w:cs="Arial"/>
        </w:rPr>
        <w:t>mlieka a mliečnych</w:t>
      </w:r>
      <w:r w:rsidR="00730EEE">
        <w:rPr>
          <w:rFonts w:ascii="Arial" w:hAnsi="Arial" w:cs="Arial"/>
        </w:rPr>
        <w:t xml:space="preserve"> výrobkov</w:t>
      </w:r>
      <w:r w:rsidRPr="00A7516E">
        <w:rPr>
          <w:rFonts w:ascii="Arial" w:hAnsi="Arial" w:cs="Arial"/>
        </w:rPr>
        <w:t>“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nasl.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A7516E" w:rsidRPr="00E201B6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A7516E" w:rsidRPr="00604081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A7516E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7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 w:rsidRPr="0014113C">
        <w:rPr>
          <w:rFonts w:ascii="Arial" w:hAnsi="Arial" w:cs="Arial"/>
        </w:rPr>
        <w:br/>
        <w:t>IČO: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Bankové spojenie: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Číslo účtu: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SWIFT/BIC: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Fax: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e-mail: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DB0275" w:rsidRPr="0014113C" w:rsidRDefault="00DB0275" w:rsidP="00DB0275">
      <w:pPr>
        <w:rPr>
          <w:rFonts w:ascii="Arial" w:hAnsi="Arial" w:cs="Arial"/>
        </w:rPr>
      </w:pPr>
      <w:r w:rsidRPr="0014113C">
        <w:rPr>
          <w:rFonts w:ascii="Arial" w:hAnsi="Arial" w:cs="Arial"/>
        </w:rPr>
        <w:t>(Kupujúci a Predávajúci sú pre účely tejto Dohody ďalej spoločne označovaní ako „Zmluvné strany“)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 w:rsidR="00A7516E"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potravín </w:t>
      </w:r>
      <w:r w:rsidR="00975326">
        <w:rPr>
          <w:rFonts w:ascii="Arial" w:hAnsi="Arial" w:cs="Arial"/>
          <w:b w:val="0"/>
        </w:rPr>
        <w:t>mlieka a mliečnych</w:t>
      </w:r>
      <w:r w:rsidR="00730EEE">
        <w:rPr>
          <w:rFonts w:ascii="Arial" w:hAnsi="Arial" w:cs="Arial"/>
          <w:b w:val="0"/>
        </w:rPr>
        <w:t xml:space="preserve"> výrobkov</w:t>
      </w:r>
      <w:r w:rsidRPr="0014113C">
        <w:rPr>
          <w:rFonts w:ascii="Arial" w:hAnsi="Arial" w:cs="Arial"/>
          <w:b w:val="0"/>
        </w:rPr>
        <w:t xml:space="preserve">“, ktorú vyhlásil </w:t>
      </w:r>
      <w:r w:rsidR="00A7516E">
        <w:rPr>
          <w:rFonts w:ascii="Arial" w:hAnsi="Arial" w:cs="Arial"/>
          <w:b w:val="0"/>
        </w:rPr>
        <w:t>verejný obstarávateľ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</w:t>
      </w:r>
      <w:r w:rsidR="00A7516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„Dodávka potravín </w:t>
      </w:r>
      <w:r w:rsidR="00975326">
        <w:rPr>
          <w:rFonts w:ascii="Arial" w:hAnsi="Arial" w:cs="Arial"/>
          <w:b w:val="0"/>
        </w:rPr>
        <w:t>mlieka a mliečnych</w:t>
      </w:r>
      <w:r w:rsidR="00730EEE">
        <w:rPr>
          <w:rFonts w:ascii="Arial" w:hAnsi="Arial" w:cs="Arial"/>
          <w:b w:val="0"/>
        </w:rPr>
        <w:t xml:space="preserve"> </w:t>
      </w:r>
      <w:r w:rsidR="00975326">
        <w:rPr>
          <w:rFonts w:ascii="Arial" w:hAnsi="Arial" w:cs="Arial"/>
          <w:b w:val="0"/>
        </w:rPr>
        <w:t>výrobkov</w:t>
      </w:r>
      <w:r>
        <w:rPr>
          <w:rFonts w:ascii="Arial" w:hAnsi="Arial" w:cs="Arial"/>
          <w:b w:val="0"/>
        </w:rPr>
        <w:t xml:space="preserve">“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 w:rsidR="00975326">
        <w:rPr>
          <w:rStyle w:val="Zkladntext2Tun"/>
          <w:rFonts w:ascii="Arial" w:hAnsi="Arial" w:cs="Arial"/>
        </w:rPr>
        <w:t>mlieka a mliečnych</w:t>
      </w:r>
      <w:r w:rsidR="00730EEE">
        <w:rPr>
          <w:rStyle w:val="Zkladntext2Tun"/>
          <w:rFonts w:ascii="Arial" w:hAnsi="Arial" w:cs="Arial"/>
        </w:rPr>
        <w:t xml:space="preserve"> výrobkov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sú množstvá len predpokladané počas trvania Dohody a Kupujúci je oprávnený objednať si väčšie, resp. menšie množstvo tovaru a to na základe jeho aktuálnych potrieb.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na dobu určitú, na </w:t>
      </w:r>
      <w:r w:rsidR="002B368C">
        <w:rPr>
          <w:rFonts w:ascii="Arial" w:hAnsi="Arial" w:cs="Arial"/>
        </w:rPr>
        <w:t>12</w:t>
      </w:r>
      <w:r w:rsidRPr="0014113C">
        <w:rPr>
          <w:rFonts w:ascii="Arial" w:hAnsi="Arial" w:cs="Arial"/>
        </w:rPr>
        <w:t xml:space="preserve"> mesiacov odo dňa nadobudnutia jej účinnosti alebo do vyčerpania finančného limitu  predpokladanej hodnoty Dohody  </w:t>
      </w:r>
      <w:r w:rsidR="00730EEE" w:rsidRPr="00730EEE">
        <w:rPr>
          <w:rFonts w:ascii="Arial" w:hAnsi="Arial" w:cs="Arial"/>
          <w:b/>
          <w:highlight w:val="yellow"/>
        </w:rPr>
        <w:t>................</w:t>
      </w:r>
      <w:r w:rsidRPr="0014113C">
        <w:rPr>
          <w:rFonts w:ascii="Arial" w:hAnsi="Arial" w:cs="Arial"/>
        </w:rPr>
        <w:t xml:space="preserve"> EUR (doplní Predávajúci podľa svojej ponuky), podľa toho, ktorá skutočnosť nastane skôr.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Maximálna cena za tovar je uvedená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maximálne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Maximálne jednotkové ceny tovaru  obsahujú všetky náklady Predávajúceho, ktoré mu v</w:t>
      </w:r>
      <w:r w:rsidR="00730EEE">
        <w:rPr>
          <w:rFonts w:ascii="Arial" w:hAnsi="Arial" w:cs="Arial"/>
        </w:rPr>
        <w:t>z</w:t>
      </w:r>
      <w:r w:rsidRPr="0014113C">
        <w:rPr>
          <w:rFonts w:ascii="Arial" w:hAnsi="Arial" w:cs="Arial"/>
        </w:rPr>
        <w:t>nikli 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216245" w:rsidRDefault="00DB0275" w:rsidP="00DB0275">
      <w:pPr>
        <w:pStyle w:val="Zkladntext20"/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nasl.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obdržaní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 xml:space="preserve">Bezprostredne po dodaní tovaru bude podpísaný  Dodací list, </w:t>
      </w:r>
      <w:r w:rsidR="00AF1AAE" w:rsidRPr="00AF1AAE">
        <w:rPr>
          <w:rFonts w:ascii="Arial" w:hAnsi="Arial" w:cs="Arial"/>
        </w:rPr>
        <w:t xml:space="preserve">ktorý je zároveň faktúrou a </w:t>
      </w:r>
      <w:r w:rsidRPr="00AF1AAE">
        <w:rPr>
          <w:rFonts w:ascii="Arial" w:hAnsi="Arial" w:cs="Arial"/>
        </w:rPr>
        <w:t xml:space="preserve">ktorý bude obsahovať minimálne označenie Predávajúceho, Kupujúceho, konkrétne označenie a množstvá dodaných tovarov, dátum dodania a prevzatia tovaru, meno a priezvisko odovzdávajúcej a preberajúcej osoby a ich vlastnoručné podpisy. </w:t>
      </w:r>
    </w:p>
    <w:p w:rsidR="00AF1AAE" w:rsidRDefault="00AF1AAE" w:rsidP="00AF1AAE">
      <w:pPr>
        <w:pStyle w:val="Odsekzoznamu"/>
        <w:spacing w:after="0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AF1AAE" w:rsidRDefault="00AF1AAE" w:rsidP="00AF1AAE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AF1AAE" w:rsidRPr="00AF1AAE" w:rsidRDefault="00DB0275" w:rsidP="00AF1AA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</w:t>
      </w:r>
      <w:r w:rsidR="00AF1AAE" w:rsidRPr="00AF1AAE">
        <w:rPr>
          <w:rFonts w:ascii="Arial" w:hAnsi="Arial" w:cs="Arial"/>
        </w:rPr>
        <w:t xml:space="preserve"> zároveň </w:t>
      </w:r>
      <w:r w:rsidRPr="00AF1AAE">
        <w:rPr>
          <w:rFonts w:ascii="Arial" w:hAnsi="Arial" w:cs="Arial"/>
        </w:rPr>
        <w:t>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kódexom a s ostatnými platnými právnymi predpismi Slovenskej republiky a Európskej únie týkajúcich sa predmetu tejto Dohody. 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lastRenderedPageBreak/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bezvadný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bezvadný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č.1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čl.V ods.5.6 a nasl.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E71F3">
        <w:rPr>
          <w:rFonts w:ascii="Arial" w:hAnsi="Arial" w:cs="Arial"/>
          <w:b/>
        </w:rPr>
        <w:t>vždy s dodávkou tovaru</w:t>
      </w:r>
      <w:r w:rsidRPr="0014113C">
        <w:rPr>
          <w:rFonts w:ascii="Arial" w:hAnsi="Arial" w:cs="Arial"/>
          <w:b/>
        </w:rPr>
        <w:t xml:space="preserve"> a to za tovar dodaný v</w:t>
      </w:r>
      <w:r w:rsidR="001E71F3">
        <w:rPr>
          <w:rFonts w:ascii="Arial" w:hAnsi="Arial" w:cs="Arial"/>
          <w:b/>
        </w:rPr>
        <w:t> aktuálny deň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</w:t>
      </w:r>
      <w:r w:rsidR="00AF1AAE">
        <w:rPr>
          <w:rFonts w:ascii="Arial" w:hAnsi="Arial" w:cs="Arial"/>
        </w:rPr>
        <w:t>Faktúra je zároveň dodacím listom, ktorý je p</w:t>
      </w:r>
      <w:r w:rsidRPr="0014113C">
        <w:rPr>
          <w:rFonts w:ascii="Arial" w:hAnsi="Arial" w:cs="Arial"/>
        </w:rPr>
        <w:t xml:space="preserve">okladom pre </w:t>
      </w:r>
      <w:r w:rsidR="00F3386A">
        <w:rPr>
          <w:rFonts w:ascii="Arial" w:hAnsi="Arial" w:cs="Arial"/>
        </w:rPr>
        <w:t xml:space="preserve">jej vystavenie. Táto je </w:t>
      </w:r>
      <w:r w:rsidRPr="0014113C">
        <w:rPr>
          <w:rFonts w:ascii="Arial" w:hAnsi="Arial" w:cs="Arial"/>
        </w:rPr>
        <w:t>potvrden</w:t>
      </w:r>
      <w:r w:rsidR="00F3386A">
        <w:rPr>
          <w:rFonts w:ascii="Arial" w:hAnsi="Arial" w:cs="Arial"/>
        </w:rPr>
        <w:t>á</w:t>
      </w:r>
      <w:r w:rsidRPr="0014113C">
        <w:rPr>
          <w:rFonts w:ascii="Arial" w:hAnsi="Arial" w:cs="Arial"/>
        </w:rPr>
        <w:t xml:space="preserve">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</w:t>
      </w:r>
      <w:r w:rsidR="000804E6">
        <w:rPr>
          <w:rFonts w:ascii="Arial" w:hAnsi="Arial" w:cs="Arial"/>
        </w:rPr>
        <w:t xml:space="preserve"> </w:t>
      </w:r>
      <w:r w:rsidR="00E057D3">
        <w:rPr>
          <w:rFonts w:ascii="Arial" w:hAnsi="Arial" w:cs="Arial"/>
        </w:rPr>
        <w:t>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Dohoda  je vyhotovená v piatich  rovnopisoch, z ktorých Kupujúci  obdrží 3 vyhotovenia a Predávajúci  obdrží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dňa..............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CAA">
          <w:rPr>
            <w:noProof/>
          </w:rPr>
          <w:t>2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804E6"/>
    <w:rsid w:val="000B0838"/>
    <w:rsid w:val="001E71F3"/>
    <w:rsid w:val="002B368C"/>
    <w:rsid w:val="00533CAA"/>
    <w:rsid w:val="005C4CD4"/>
    <w:rsid w:val="00602822"/>
    <w:rsid w:val="006C6F3A"/>
    <w:rsid w:val="00730EEE"/>
    <w:rsid w:val="007374BF"/>
    <w:rsid w:val="0087726D"/>
    <w:rsid w:val="008979E8"/>
    <w:rsid w:val="00975326"/>
    <w:rsid w:val="00A53722"/>
    <w:rsid w:val="00A7516E"/>
    <w:rsid w:val="00AF14B0"/>
    <w:rsid w:val="00AF1AAE"/>
    <w:rsid w:val="00BD2334"/>
    <w:rsid w:val="00DB0275"/>
    <w:rsid w:val="00E057D3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kovicova@prikriz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2</cp:revision>
  <dcterms:created xsi:type="dcterms:W3CDTF">2020-07-21T10:46:00Z</dcterms:created>
  <dcterms:modified xsi:type="dcterms:W3CDTF">2020-07-21T10:46:00Z</dcterms:modified>
</cp:coreProperties>
</file>